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E3" w:rsidRDefault="003E51E3" w:rsidP="003E51E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該非判定票</w:t>
      </w:r>
    </w:p>
    <w:p w:rsidR="00AF26F3" w:rsidRPr="00386CBC" w:rsidRDefault="00AF26F3" w:rsidP="003E51E3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</w:pPr>
    </w:p>
    <w:p w:rsidR="003E51E3" w:rsidRPr="00900BA7" w:rsidRDefault="003E51E3" w:rsidP="003E51E3">
      <w:pPr>
        <w:rPr>
          <w:rFonts w:ascii="ＭＳ ゴシック" w:eastAsia="ＭＳ ゴシック" w:hAnsi="ＭＳ ゴシック"/>
          <w:sz w:val="21"/>
          <w:szCs w:val="21"/>
        </w:rPr>
      </w:pPr>
      <w:r w:rsidRPr="00900BA7">
        <w:rPr>
          <w:rFonts w:ascii="ＭＳ ゴシック" w:eastAsia="ＭＳ ゴシック" w:hAnsi="ＭＳ ゴシック" w:hint="eastAsia"/>
          <w:sz w:val="21"/>
          <w:szCs w:val="21"/>
        </w:rPr>
        <w:t xml:space="preserve">作　成　日：　　</w:t>
      </w:r>
      <w:r w:rsidRPr="007B40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年　　　　月　　　　日</w:t>
      </w:r>
    </w:p>
    <w:p w:rsidR="003E51E3" w:rsidRPr="00900BA7" w:rsidRDefault="003E51E3" w:rsidP="003E51E3">
      <w:pPr>
        <w:rPr>
          <w:rFonts w:ascii="ＭＳ ゴシック" w:eastAsia="ＭＳ ゴシック" w:hAnsi="ＭＳ ゴシック"/>
          <w:sz w:val="21"/>
          <w:szCs w:val="21"/>
        </w:rPr>
      </w:pPr>
      <w:r w:rsidRPr="00900BA7">
        <w:rPr>
          <w:rFonts w:ascii="ＭＳ ゴシック" w:eastAsia="ＭＳ ゴシック" w:hAnsi="ＭＳ ゴシック" w:hint="eastAsia"/>
          <w:sz w:val="21"/>
          <w:szCs w:val="21"/>
        </w:rPr>
        <w:t>作成責任者：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900BA7">
        <w:rPr>
          <w:rFonts w:ascii="ＭＳ ゴシック" w:eastAsia="ＭＳ ゴシック" w:hAnsi="ＭＳ ゴシック" w:hint="eastAsia"/>
          <w:sz w:val="21"/>
          <w:szCs w:val="21"/>
        </w:rPr>
        <w:t>氏名</w:t>
      </w:r>
      <w:r w:rsidRPr="007B40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</w:t>
      </w:r>
      <w:r w:rsidRPr="00900BA7">
        <w:rPr>
          <w:rFonts w:ascii="ＭＳ ゴシック" w:eastAsia="ＭＳ ゴシック" w:hAnsi="ＭＳ ゴシック" w:hint="eastAsia"/>
          <w:sz w:val="21"/>
          <w:szCs w:val="21"/>
        </w:rPr>
        <w:t xml:space="preserve">　所属・職名</w:t>
      </w:r>
      <w:r w:rsidRPr="007B40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</w:t>
      </w:r>
    </w:p>
    <w:p w:rsidR="003E51E3" w:rsidRPr="00900BA7" w:rsidRDefault="003E51E3" w:rsidP="003E51E3">
      <w:pPr>
        <w:spacing w:after="240"/>
        <w:rPr>
          <w:rFonts w:ascii="ＭＳ ゴシック" w:eastAsia="ＭＳ ゴシック" w:hAnsi="ＭＳ ゴシック"/>
          <w:sz w:val="21"/>
          <w:szCs w:val="21"/>
        </w:rPr>
      </w:pPr>
      <w:r w:rsidRPr="00900BA7">
        <w:rPr>
          <w:rFonts w:ascii="ＭＳ ゴシック" w:eastAsia="ＭＳ ゴシック" w:hAnsi="ＭＳ ゴシック" w:hint="eastAsia"/>
          <w:sz w:val="21"/>
          <w:szCs w:val="21"/>
        </w:rPr>
        <w:t xml:space="preserve">連　絡　先： 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900BA7">
        <w:rPr>
          <w:rFonts w:ascii="ＭＳ ゴシック" w:eastAsia="ＭＳ ゴシック" w:hAnsi="ＭＳ ゴシック" w:hint="eastAsia"/>
          <w:sz w:val="21"/>
          <w:szCs w:val="21"/>
        </w:rPr>
        <w:t>Tel</w:t>
      </w:r>
      <w:r w:rsidRPr="007B40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900BA7">
        <w:rPr>
          <w:rFonts w:ascii="ＭＳ ゴシック" w:eastAsia="ＭＳ ゴシック" w:hAnsi="ＭＳ ゴシック" w:hint="eastAsia"/>
          <w:sz w:val="21"/>
          <w:szCs w:val="21"/>
        </w:rPr>
        <w:t>E-mail</w:t>
      </w:r>
      <w:r w:rsidRPr="007B407F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                               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032"/>
      </w:tblGrid>
      <w:tr w:rsidR="003E51E3" w:rsidRPr="005D440B" w:rsidTr="00AF26F3">
        <w:trPr>
          <w:trHeight w:hRule="exact" w:val="964"/>
          <w:jc w:val="center"/>
        </w:trPr>
        <w:tc>
          <w:tcPr>
            <w:tcW w:w="2324" w:type="dxa"/>
          </w:tcPr>
          <w:p w:rsidR="003E51E3" w:rsidRPr="005D440B" w:rsidRDefault="003E51E3" w:rsidP="00E50F9A">
            <w:pPr>
              <w:spacing w:before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技術の名称、取引概要</w:t>
            </w:r>
          </w:p>
          <w:p w:rsidR="003E51E3" w:rsidRPr="005D440B" w:rsidRDefault="003E51E3" w:rsidP="00E50F9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貨物の名称、型及び等級</w:t>
            </w:r>
          </w:p>
        </w:tc>
        <w:tc>
          <w:tcPr>
            <w:tcW w:w="7032" w:type="dxa"/>
          </w:tcPr>
          <w:p w:rsidR="003E51E3" w:rsidRPr="005D440B" w:rsidRDefault="003E51E3" w:rsidP="00E50F9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E51E3" w:rsidRPr="005D440B" w:rsidRDefault="003E51E3" w:rsidP="00E50F9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E51E3" w:rsidRPr="005D440B" w:rsidRDefault="003E51E3" w:rsidP="00E50F9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3E51E3" w:rsidRPr="005D440B" w:rsidRDefault="00AF26F3" w:rsidP="003E51E3">
      <w:pPr>
        <w:rPr>
          <w:rFonts w:ascii="ＭＳ ゴシック" w:eastAsia="ＭＳ ゴシック" w:hAnsi="ＭＳ ゴシック"/>
          <w:sz w:val="21"/>
          <w:szCs w:val="21"/>
        </w:rPr>
      </w:pPr>
      <w:r w:rsidRPr="005D440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365125</wp:posOffset>
                </wp:positionV>
                <wp:extent cx="2941320" cy="41814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E3" w:rsidRDefault="003E51E3" w:rsidP="003E51E3">
                            <w:pPr>
                              <w:spacing w:after="120"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00BA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・貨物</w:t>
                            </w:r>
                            <w:r w:rsidRPr="00900BA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内容・性能</w:t>
                            </w:r>
                            <w:r w:rsidRPr="00900BA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を法令（外国為替令別表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Pr="006B38A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輸出貿易管理令別表第一</w:t>
                            </w:r>
                            <w:r w:rsidRPr="00900BA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、貨物等省令、解釈通達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。下記ＨＰ掲載の「貨物・技術のマトリクス表」を参照</w:t>
                            </w:r>
                            <w:r w:rsidRPr="00900BA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）に照合した上で、それぞれの項について「該当する」「該当しない」のいずれかに○印を付けてください。</w:t>
                            </w:r>
                          </w:p>
                          <w:p w:rsidR="003E51E3" w:rsidRDefault="003E51E3" w:rsidP="003E51E3">
                            <w:pPr>
                              <w:spacing w:after="120"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D63C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4" w:history="1">
                              <w:r w:rsidRPr="00DC3241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http://www.meti.go.jp/policy/anpo/matrix_intro.html</w:t>
                              </w:r>
                            </w:hyperlink>
                          </w:p>
                          <w:p w:rsidR="003E51E3" w:rsidRPr="001973B4" w:rsidRDefault="003E51E3" w:rsidP="003E51E3">
                            <w:pPr>
                              <w:spacing w:after="120"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00BA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※「該当する」に○印</w:t>
                            </w:r>
                            <w:r w:rsidRPr="005D44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を付けた項については、貨物等省令、解釈通達の関係箇所と技術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・貨物</w:t>
                            </w:r>
                            <w:r w:rsidRPr="005D44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の仕様（性能）を比較し、該当すると判断した根拠を</w:t>
                            </w:r>
                            <w:r w:rsidRPr="001973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、別紙「対比表」に明記してください。</w:t>
                            </w:r>
                          </w:p>
                          <w:p w:rsidR="003E51E3" w:rsidRPr="005D440B" w:rsidRDefault="003E51E3" w:rsidP="003E51E3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973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※「該当しない」に○印を付けた項でも、技術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・貨物</w:t>
                            </w:r>
                            <w:r w:rsidRPr="001973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の性質上その項に近いものである場合には、貨物等省令、解釈通達の関係箇所と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技術・貨物</w:t>
                            </w:r>
                            <w:r w:rsidRPr="001973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5D44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仕様（性能）</w:t>
                            </w:r>
                            <w:r w:rsidRPr="001973B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を比較し、該当しないと判断した根拠を、別紙「対比表」に明</w:t>
                            </w:r>
                            <w:r w:rsidRPr="005D44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4.7pt;margin-top:28.75pt;width:231.6pt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YwogIAAB8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" stroked="f">
                <v:textbox inset="5.85pt,.7pt,5.85pt,.7pt">
                  <w:txbxContent>
                    <w:p w:rsidR="003E51E3" w:rsidRDefault="003E51E3" w:rsidP="003E51E3">
                      <w:pPr>
                        <w:spacing w:after="120"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00BA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・貨物</w:t>
                      </w:r>
                      <w:r w:rsidRPr="00900BA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内容・性能</w:t>
                      </w:r>
                      <w:r w:rsidRPr="00900BA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を法令（外国為替令別表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又は</w:t>
                      </w:r>
                      <w:r w:rsidRPr="006B38A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輸出貿易管理令別表第一</w:t>
                      </w:r>
                      <w:r w:rsidRPr="00900BA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、貨物等省令、解釈通達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。下記ＨＰ掲載の「貨物・技術のマトリクス表」を参照</w:t>
                      </w:r>
                      <w:r w:rsidRPr="00900BA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）に照合した上で、それぞれの項について「該当する」「該当しない」のいずれかに○印を付けてください。</w:t>
                      </w:r>
                    </w:p>
                    <w:p w:rsidR="003E51E3" w:rsidRDefault="003E51E3" w:rsidP="003E51E3">
                      <w:pPr>
                        <w:spacing w:after="120"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D63C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hyperlink r:id="rId5" w:history="1">
                        <w:r w:rsidRPr="00DC3241">
                          <w:rPr>
                            <w:rStyle w:val="a3"/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http://www.meti.go.jp/policy/anpo/matrix_intro.html</w:t>
                        </w:r>
                      </w:hyperlink>
                    </w:p>
                    <w:p w:rsidR="003E51E3" w:rsidRPr="001973B4" w:rsidRDefault="003E51E3" w:rsidP="003E51E3">
                      <w:pPr>
                        <w:spacing w:after="120"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900BA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※「該当する」に○印</w:t>
                      </w:r>
                      <w:r w:rsidRPr="005D44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を付けた項については、貨物等省令、解釈通達の関係箇所と技術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・貨物</w:t>
                      </w:r>
                      <w:r w:rsidRPr="005D44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の仕様（性能）を比較し、該当すると判断した根拠を</w:t>
                      </w:r>
                      <w:r w:rsidRPr="001973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、別紙「対比表」に明記してください。</w:t>
                      </w:r>
                    </w:p>
                    <w:p w:rsidR="003E51E3" w:rsidRPr="005D440B" w:rsidRDefault="003E51E3" w:rsidP="003E51E3">
                      <w:pPr>
                        <w:spacing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1973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※「該当しない」に○印を付けた項でも、技術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・貨物</w:t>
                      </w:r>
                      <w:r w:rsidRPr="001973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の性質上その項に近いものである場合には、貨物等省令、解釈通達の関係箇所と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技術・貨物</w:t>
                      </w:r>
                      <w:r w:rsidRPr="001973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</w:t>
                      </w:r>
                      <w:r w:rsidRPr="005D44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仕様（性能）</w:t>
                      </w:r>
                      <w:r w:rsidRPr="001973B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を比較し、該当しないと判断した根拠を、別紙「対比表」に明</w:t>
                      </w:r>
                      <w:r w:rsidRPr="005D44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7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</w:tblGrid>
      <w:tr w:rsidR="003E51E3" w:rsidRPr="005D440B" w:rsidTr="00AF26F3">
        <w:tc>
          <w:tcPr>
            <w:tcW w:w="4678" w:type="dxa"/>
            <w:gridSpan w:val="3"/>
          </w:tcPr>
          <w:p w:rsidR="003E51E3" w:rsidRDefault="003E51E3" w:rsidP="00E50F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外国為替令別表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（技術を提供する場合）</w:t>
            </w:r>
          </w:p>
          <w:p w:rsidR="003E51E3" w:rsidRDefault="003E51E3" w:rsidP="00E50F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又は</w:t>
            </w:r>
          </w:p>
          <w:p w:rsidR="003E51E3" w:rsidRPr="005D440B" w:rsidRDefault="003E51E3" w:rsidP="00E50F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38A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輸出貿易管理令別表第一（貨物を輸出する場合）</w:t>
            </w:r>
          </w:p>
          <w:p w:rsidR="003E51E3" w:rsidRPr="005D440B" w:rsidRDefault="003E51E3" w:rsidP="00E50F9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の項番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と該非</w:t>
            </w:r>
          </w:p>
        </w:tc>
      </w:tr>
      <w:tr w:rsidR="003E51E3" w:rsidRPr="005D440B" w:rsidTr="00AF26F3">
        <w:trPr>
          <w:trHeight w:hRule="exact" w:val="5160"/>
        </w:trPr>
        <w:tc>
          <w:tcPr>
            <w:tcW w:w="1560" w:type="dxa"/>
            <w:tcBorders>
              <w:bottom w:val="single" w:sz="12" w:space="0" w:color="auto"/>
            </w:tcBorders>
          </w:tcPr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３の２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１２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１３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１４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１５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該当する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  <w:p w:rsidR="003E51E3" w:rsidRPr="005D440B" w:rsidRDefault="003E51E3" w:rsidP="00E50F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D44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該当しない</w:t>
            </w:r>
          </w:p>
        </w:tc>
      </w:tr>
      <w:tr w:rsidR="003E51E3" w:rsidRPr="005D440B" w:rsidTr="00AF26F3">
        <w:trPr>
          <w:trHeight w:hRule="exact" w:val="624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</w:tcBorders>
          </w:tcPr>
          <w:p w:rsidR="003E51E3" w:rsidRPr="005D440B" w:rsidRDefault="003E51E3" w:rsidP="00E50F9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3E51E3" w:rsidRPr="005D440B" w:rsidRDefault="003E51E3" w:rsidP="00E50F9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4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「該当する」欄が</w:t>
            </w:r>
          </w:p>
          <w:p w:rsidR="003E51E3" w:rsidRPr="005D440B" w:rsidRDefault="003E51E3" w:rsidP="00E50F9A">
            <w:pPr>
              <w:spacing w:line="28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4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１か所以上ある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51E3" w:rsidRPr="005D440B" w:rsidRDefault="003E51E3" w:rsidP="00E50F9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440B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186690</wp:posOffset>
                      </wp:positionV>
                      <wp:extent cx="2273935" cy="725170"/>
                      <wp:effectExtent l="12065" t="11430" r="57150" b="15875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725170"/>
                                <a:chOff x="7791" y="11574"/>
                                <a:chExt cx="2286" cy="1080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1" y="11575"/>
                                  <a:ext cx="2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7" y="11574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29CF141" id="グループ化 5" o:spid="_x0000_s1026" style="position:absolute;left:0;text-align:left;margin-left:80.7pt;margin-top:14.7pt;width:179.05pt;height:57.1pt;z-index:251659264" coordorigin="7791,11574" coordsize="2286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">
                      <v:line id="Line 3" o:spid="_x0000_s1027" style="position:absolute;visibility:visible;mso-wrap-style:square" from="7791,11575" to="10064,1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4" o:spid="_x0000_s1028" style="position:absolute;visibility:visible;mso-wrap-style:square" from="10077,11574" to="10077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</v:group>
                  </w:pict>
                </mc:Fallback>
              </mc:AlternateContent>
            </w:r>
            <w:r w:rsidRPr="005D44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すべて「該当しない」欄のみ</w:t>
            </w:r>
          </w:p>
        </w:tc>
      </w:tr>
    </w:tbl>
    <w:p w:rsidR="003E51E3" w:rsidRPr="005D440B" w:rsidRDefault="003E51E3" w:rsidP="003E51E3">
      <w:pPr>
        <w:rPr>
          <w:rFonts w:ascii="ＭＳ ゴシック" w:eastAsia="ＭＳ ゴシック" w:hAnsi="ＭＳ ゴシック"/>
          <w:sz w:val="21"/>
          <w:szCs w:val="21"/>
        </w:rPr>
      </w:pPr>
      <w:r w:rsidRPr="005D440B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3217545" cy="514350"/>
                <wp:effectExtent l="11430" t="12700" r="57150" b="158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514350"/>
                          <a:chOff x="4326" y="12115"/>
                          <a:chExt cx="4788" cy="539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26" y="121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352" y="12474"/>
                            <a:ext cx="47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14" y="124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D1A5D8A" id="グループ化 1" o:spid="_x0000_s1026" style="position:absolute;left:0;text-align:left;margin-left:119pt;margin-top:.85pt;width:253.35pt;height:40.5pt;z-index:251660288" coordorigin="4326,12115" coordsize="478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">
                <v:line id="Line 6" o:spid="_x0000_s1027" style="position:absolute;visibility:visible;mso-wrap-style:square" from="4326,12115" to="4326,1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7" o:spid="_x0000_s1028" style="position:absolute;visibility:visible;mso-wrap-style:square" from="4352,12474" to="9114,1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" o:spid="_x0000_s1029" style="position:absolute;visibility:visible;mso-wrap-style:square" from="9114,12474" to="9114,1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</w:p>
    <w:p w:rsidR="003E51E3" w:rsidRPr="005D440B" w:rsidRDefault="003E51E3" w:rsidP="003E51E3">
      <w:pPr>
        <w:rPr>
          <w:rFonts w:ascii="ＭＳ ゴシック" w:eastAsia="ＭＳ ゴシック" w:hAnsi="ＭＳ ゴシック"/>
          <w:sz w:val="21"/>
          <w:szCs w:val="21"/>
        </w:rPr>
      </w:pPr>
    </w:p>
    <w:p w:rsidR="003E51E3" w:rsidRDefault="003E51E3" w:rsidP="003E51E3">
      <w:pPr>
        <w:spacing w:line="100" w:lineRule="atLeas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D440B">
        <w:rPr>
          <w:rFonts w:ascii="ＭＳ ゴシック" w:eastAsia="ＭＳ ゴシック" w:hAnsi="ＭＳ ゴシック" w:hint="eastAsia"/>
          <w:sz w:val="21"/>
          <w:szCs w:val="21"/>
        </w:rPr>
        <w:t>本件技術</w:t>
      </w:r>
      <w:r>
        <w:rPr>
          <w:rFonts w:ascii="ＭＳ ゴシック" w:eastAsia="ＭＳ ゴシック" w:hAnsi="ＭＳ ゴシック" w:hint="eastAsia"/>
          <w:sz w:val="21"/>
          <w:szCs w:val="21"/>
        </w:rPr>
        <w:t>又は貨物</w:t>
      </w:r>
      <w:r w:rsidRPr="005D440B">
        <w:rPr>
          <w:rFonts w:ascii="ＭＳ ゴシック" w:eastAsia="ＭＳ ゴシック" w:hAnsi="ＭＳ ゴシック" w:hint="eastAsia"/>
          <w:sz w:val="21"/>
          <w:szCs w:val="21"/>
        </w:rPr>
        <w:t>は、以上のとおり</w:t>
      </w:r>
      <w:r w:rsidRPr="006B38A1">
        <w:rPr>
          <w:rFonts w:ascii="ＭＳ ゴシック" w:eastAsia="ＭＳ ゴシック" w:hAnsi="ＭＳ ゴシック" w:hint="eastAsia"/>
          <w:sz w:val="21"/>
          <w:szCs w:val="21"/>
        </w:rPr>
        <w:t>外国為替令別表</w:t>
      </w:r>
      <w:r>
        <w:rPr>
          <w:rFonts w:ascii="ＭＳ ゴシック" w:eastAsia="ＭＳ ゴシック" w:hAnsi="ＭＳ ゴシック" w:hint="eastAsia"/>
          <w:sz w:val="21"/>
          <w:szCs w:val="21"/>
        </w:rPr>
        <w:t>（第１６項を除く）</w:t>
      </w:r>
    </w:p>
    <w:p w:rsidR="003E51E3" w:rsidRDefault="003E51E3" w:rsidP="00AF26F3">
      <w:pPr>
        <w:spacing w:line="100" w:lineRule="atLeast"/>
        <w:ind w:firstLineChars="500" w:firstLine="105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又は</w:t>
      </w:r>
      <w:r w:rsidRPr="006B38A1">
        <w:rPr>
          <w:rFonts w:ascii="ＭＳ ゴシック" w:eastAsia="ＭＳ ゴシック" w:hAnsi="ＭＳ ゴシック" w:hint="eastAsia"/>
          <w:sz w:val="21"/>
          <w:szCs w:val="21"/>
        </w:rPr>
        <w:t>輸出貿易管理令別表第一</w:t>
      </w:r>
      <w:r w:rsidRPr="005D440B">
        <w:rPr>
          <w:rFonts w:ascii="ＭＳ ゴシック" w:eastAsia="ＭＳ ゴシック" w:hAnsi="ＭＳ ゴシック" w:hint="eastAsia"/>
          <w:sz w:val="21"/>
          <w:szCs w:val="21"/>
        </w:rPr>
        <w:t>（第１６項を除く）に該当（します・しません）。</w:t>
      </w:r>
    </w:p>
    <w:p w:rsidR="003E51E3" w:rsidRDefault="003E51E3" w:rsidP="003E51E3">
      <w:pPr>
        <w:spacing w:line="100" w:lineRule="atLeast"/>
        <w:ind w:firstLineChars="1400" w:firstLine="2940"/>
        <w:rPr>
          <w:rFonts w:ascii="ＭＳ ゴシック" w:eastAsia="ＭＳ ゴシック" w:hAnsi="ＭＳ ゴシック"/>
          <w:sz w:val="21"/>
          <w:szCs w:val="21"/>
        </w:rPr>
      </w:pPr>
    </w:p>
    <w:p w:rsidR="003E51E3" w:rsidRPr="005D440B" w:rsidRDefault="003E51E3" w:rsidP="003E51E3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5D440B">
        <w:rPr>
          <w:rFonts w:ascii="ＭＳ ゴシック" w:eastAsia="ＭＳ ゴシック" w:hAnsi="ＭＳ ゴシック" w:hint="eastAsia"/>
          <w:sz w:val="21"/>
          <w:szCs w:val="21"/>
        </w:rPr>
        <w:t>外国為替</w:t>
      </w:r>
      <w:r w:rsidRPr="001973B4">
        <w:rPr>
          <w:rFonts w:ascii="ＭＳ ゴシック" w:eastAsia="ＭＳ ゴシック" w:hAnsi="ＭＳ ゴシック" w:hint="eastAsia"/>
          <w:sz w:val="21"/>
          <w:szCs w:val="21"/>
        </w:rPr>
        <w:t>令</w:t>
      </w:r>
      <w:r>
        <w:rPr>
          <w:rFonts w:ascii="ＭＳ ゴシック" w:eastAsia="ＭＳ ゴシック" w:hAnsi="ＭＳ ゴシック" w:hint="eastAsia"/>
          <w:sz w:val="21"/>
          <w:szCs w:val="21"/>
        </w:rPr>
        <w:t>／輸出貿易管理令</w:t>
      </w:r>
      <w:r w:rsidRPr="001973B4">
        <w:rPr>
          <w:rFonts w:ascii="ＭＳ ゴシック" w:eastAsia="ＭＳ ゴシック" w:hAnsi="ＭＳ ゴシック" w:hint="eastAsia"/>
          <w:sz w:val="21"/>
          <w:szCs w:val="21"/>
        </w:rPr>
        <w:t>の関係項、貨物等省令の関係箇所及び解釈通達の関係箇所と、本件技術</w:t>
      </w:r>
      <w:r>
        <w:rPr>
          <w:rFonts w:ascii="ＭＳ ゴシック" w:eastAsia="ＭＳ ゴシック" w:hAnsi="ＭＳ ゴシック" w:hint="eastAsia"/>
          <w:sz w:val="21"/>
          <w:szCs w:val="21"/>
        </w:rPr>
        <w:t>・貨物</w:t>
      </w:r>
      <w:r w:rsidRPr="001973B4">
        <w:rPr>
          <w:rFonts w:ascii="ＭＳ ゴシック" w:eastAsia="ＭＳ ゴシック" w:hAnsi="ＭＳ ゴシック" w:hint="eastAsia"/>
          <w:sz w:val="21"/>
          <w:szCs w:val="21"/>
        </w:rPr>
        <w:t>の仕様（性能）との対応関係は、別紙「対比表」のと</w:t>
      </w:r>
      <w:r w:rsidRPr="005D440B">
        <w:rPr>
          <w:rFonts w:ascii="ＭＳ ゴシック" w:eastAsia="ＭＳ ゴシック" w:hAnsi="ＭＳ ゴシック" w:hint="eastAsia"/>
          <w:sz w:val="21"/>
          <w:szCs w:val="21"/>
        </w:rPr>
        <w:t>おりです。</w:t>
      </w:r>
    </w:p>
    <w:p w:rsidR="003E51E3" w:rsidRPr="005D440B" w:rsidRDefault="003E51E3" w:rsidP="003E51E3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445D5" w:rsidRPr="003E51E3" w:rsidRDefault="003E51E3" w:rsidP="00AF26F3">
      <w:pPr>
        <w:spacing w:after="120" w:line="280" w:lineRule="exact"/>
        <w:ind w:left="420" w:hangingChars="200" w:hanging="420"/>
      </w:pPr>
      <w:r w:rsidRPr="005D440B">
        <w:rPr>
          <w:rFonts w:ascii="ＭＳ ゴシック" w:eastAsia="ＭＳ ゴシック" w:hAnsi="ＭＳ ゴシック" w:hint="eastAsia"/>
          <w:sz w:val="21"/>
          <w:szCs w:val="21"/>
        </w:rPr>
        <w:t>（注）本様式は、申請を行うに当たって該当非該当の判断を示す様式の一例として</w:t>
      </w:r>
      <w:r>
        <w:rPr>
          <w:rFonts w:ascii="ＭＳ ゴシック" w:eastAsia="ＭＳ ゴシック" w:hAnsi="ＭＳ ゴシック" w:hint="eastAsia"/>
          <w:sz w:val="21"/>
          <w:szCs w:val="21"/>
        </w:rPr>
        <w:t>提示</w:t>
      </w:r>
      <w:r w:rsidRPr="005D440B">
        <w:rPr>
          <w:rFonts w:ascii="ＭＳ ゴシック" w:eastAsia="ＭＳ ゴシック" w:hAnsi="ＭＳ ゴシック" w:hint="eastAsia"/>
          <w:sz w:val="21"/>
          <w:szCs w:val="21"/>
        </w:rPr>
        <w:t>するものです。既に、他の様式で申請を行って許可を得た実績を有する方は、従来の様式に従って申請を行って差し支えなく、特に、新たに本様式に変更する必要はありません。</w:t>
      </w:r>
      <w:bookmarkStart w:id="0" w:name="_GoBack"/>
      <w:bookmarkEnd w:id="0"/>
    </w:p>
    <w:sectPr w:rsidR="005445D5" w:rsidRPr="003E51E3" w:rsidSect="00AF26F3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3"/>
    <w:rsid w:val="003E51E3"/>
    <w:rsid w:val="005445D5"/>
    <w:rsid w:val="00A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C2138-41CE-49EB-A763-E750EFF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E3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i.go.jp/policy/anpo/matrix_intro.html" TargetMode="External"/><Relationship Id="rId4" Type="http://schemas.openxmlformats.org/officeDocument/2006/relationships/hyperlink" Target="http://www.meti.go.jp/policy/anpo/matrix_intr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2021-05-17T07:13:00Z</dcterms:created>
  <dcterms:modified xsi:type="dcterms:W3CDTF">2021-05-17T07:13:00Z</dcterms:modified>
</cp:coreProperties>
</file>